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9CFDC" w14:textId="46D1AB38" w:rsidR="00EF76B1" w:rsidRDefault="00FC0DFD" w:rsidP="00FC0DFD">
      <w:pPr>
        <w:ind w:firstLineChars="100" w:firstLine="206"/>
      </w:pPr>
      <w:r w:rsidRPr="006F6525">
        <w:rPr>
          <w:rFonts w:hint="eastAsia"/>
          <w:b/>
          <w:bCs/>
        </w:rPr>
        <w:t>【</w:t>
      </w:r>
      <w:r w:rsidR="00DF0A97" w:rsidRPr="006F6525">
        <w:rPr>
          <w:rFonts w:hint="eastAsia"/>
          <w:b/>
          <w:bCs/>
        </w:rPr>
        <w:t>発展問題</w:t>
      </w:r>
      <w:r w:rsidRPr="006F6525">
        <w:rPr>
          <w:rFonts w:hint="eastAsia"/>
          <w:b/>
          <w:bCs/>
        </w:rPr>
        <w:t>】</w:t>
      </w:r>
      <w:r w:rsidR="00EF76B1" w:rsidRPr="00EF76B1">
        <w:rPr>
          <w:rFonts w:hint="eastAsia"/>
        </w:rPr>
        <w:t>公認会計士試験</w:t>
      </w:r>
      <w:r w:rsidR="00EF76B1">
        <w:rPr>
          <w:rFonts w:hint="eastAsia"/>
        </w:rPr>
        <w:t>「</w:t>
      </w:r>
      <w:r w:rsidR="006A5E1C">
        <w:rPr>
          <w:rFonts w:hint="eastAsia"/>
        </w:rPr>
        <w:t>平成30</w:t>
      </w:r>
      <w:r w:rsidR="00EF76B1" w:rsidRPr="00EF76B1">
        <w:t>年第</w:t>
      </w:r>
      <w:r w:rsidR="006A5E1C">
        <w:rPr>
          <w:rFonts w:hint="eastAsia"/>
        </w:rPr>
        <w:t>Ⅱ</w:t>
      </w:r>
      <w:r w:rsidR="00EF76B1" w:rsidRPr="00EF76B1">
        <w:t>回短答式</w:t>
      </w:r>
      <w:r w:rsidR="00EF76B1">
        <w:rPr>
          <w:rFonts w:hint="eastAsia"/>
        </w:rPr>
        <w:t>」</w:t>
      </w:r>
      <w:r w:rsidR="00EF76B1">
        <w:t>財務会計</w:t>
      </w:r>
      <w:r w:rsidR="00EF76B1">
        <w:rPr>
          <w:rFonts w:hint="eastAsia"/>
        </w:rPr>
        <w:t>論</w:t>
      </w:r>
      <w:r w:rsidR="00EF76B1" w:rsidRPr="00EF76B1">
        <w:t>問題1</w:t>
      </w:r>
    </w:p>
    <w:p w14:paraId="4E20F1CC" w14:textId="55448056" w:rsidR="009F52BD" w:rsidRDefault="009F52BD" w:rsidP="00EF76B1">
      <w:r>
        <w:rPr>
          <w:rFonts w:hint="eastAsia"/>
        </w:rPr>
        <w:t>（出所：</w:t>
      </w:r>
      <w:hyperlink r:id="rId6" w:history="1">
        <w:r w:rsidRPr="00E96AF4">
          <w:rPr>
            <w:rStyle w:val="a7"/>
          </w:rPr>
          <w:t>https://www.fsa.go.jp/cpaaob/kouninkaikeishi-shiken/tantou_mondai30b/04.pdf</w:t>
        </w:r>
      </w:hyperlink>
      <w:r>
        <w:rPr>
          <w:rFonts w:hint="eastAsia"/>
        </w:rPr>
        <w:t>）</w:t>
      </w:r>
    </w:p>
    <w:p w14:paraId="1CCC45B9" w14:textId="77777777" w:rsidR="00911EFA" w:rsidRDefault="00911EFA" w:rsidP="00EF76B1"/>
    <w:p w14:paraId="75C7F699" w14:textId="77777777" w:rsidR="006A5E1C" w:rsidRDefault="006A5E1C" w:rsidP="006A5E1C">
      <w:pPr>
        <w:ind w:firstLineChars="100" w:firstLine="210"/>
      </w:pPr>
      <w:r>
        <w:rPr>
          <w:rFonts w:hint="eastAsia"/>
        </w:rPr>
        <w:t>会計公準の意義と役割に関する次の記述のうち，正しいものの組合せとして最も適切な番号を一つ選びなさい。</w:t>
      </w:r>
    </w:p>
    <w:p w14:paraId="134C36F5" w14:textId="77777777" w:rsidR="006A5E1C" w:rsidRDefault="006A5E1C" w:rsidP="006A5E1C">
      <w:pPr>
        <w:ind w:firstLineChars="100" w:firstLine="210"/>
      </w:pPr>
    </w:p>
    <w:p w14:paraId="6DE513B7" w14:textId="77777777" w:rsidR="006A5E1C" w:rsidRDefault="006A5E1C" w:rsidP="006A5E1C">
      <w:pPr>
        <w:ind w:leftChars="100" w:left="420" w:hangingChars="100" w:hanging="210"/>
      </w:pPr>
      <w:r>
        <w:rPr>
          <w:rFonts w:hint="eastAsia"/>
        </w:rPr>
        <w:t>ア．会計公準は，会計理論や会計実務の基礎的な前提をなすものである。したがって，個</w:t>
      </w:r>
      <w:r>
        <w:t xml:space="preserve"> 別の会計基準の具体的内容を直接制約するものではない。</w:t>
      </w:r>
    </w:p>
    <w:p w14:paraId="083254F6" w14:textId="77777777" w:rsidR="006A5E1C" w:rsidRDefault="006A5E1C" w:rsidP="006A5E1C">
      <w:pPr>
        <w:ind w:leftChars="100" w:left="420" w:hangingChars="100" w:hanging="210"/>
      </w:pPr>
      <w:r>
        <w:rPr>
          <w:rFonts w:hint="eastAsia"/>
        </w:rPr>
        <w:t>イ．貨幣的測定の公準は，会計における測定は貨幣額を用いて行うことを要請した公準である。したがって，この公準に従う場合，貨幣額で客観的に測定することができないものは，たとえそれが企業活動のために重要な役割を果たす要素であっても，原則として会計の測定の対象とすることはできない。</w:t>
      </w:r>
    </w:p>
    <w:p w14:paraId="0DF2100D" w14:textId="77777777" w:rsidR="006A5E1C" w:rsidRDefault="006A5E1C" w:rsidP="006A5E1C">
      <w:pPr>
        <w:ind w:leftChars="100" w:left="420" w:hangingChars="100" w:hanging="210"/>
      </w:pPr>
      <w:r>
        <w:rPr>
          <w:rFonts w:hint="eastAsia"/>
        </w:rPr>
        <w:t>ウ．企業実体の公準は，会計が行われる場を確定する公準であり，会計単位の公準と呼ばれることもある。したがって，連結財務諸表に関する会計基準において親会社説が採用されているのは，企業実体の公準の適用例とみなされる。</w:t>
      </w:r>
    </w:p>
    <w:p w14:paraId="1A5E7C6C" w14:textId="77777777" w:rsidR="006A5E1C" w:rsidRDefault="006A5E1C" w:rsidP="006A5E1C">
      <w:pPr>
        <w:ind w:leftChars="100" w:left="420" w:hangingChars="100" w:hanging="210"/>
      </w:pPr>
      <w:r>
        <w:rPr>
          <w:rFonts w:hint="eastAsia"/>
        </w:rPr>
        <w:t>エ．継続企業の公準は，企業が半永久的に存在することを仮定した上で会計を行うことを要請した公準である。したがって，期間を人為的に区切って実施される期間損益計算は，継続企業の公準とは異なる前提に基づいている。</w:t>
      </w:r>
    </w:p>
    <w:p w14:paraId="35D7E977" w14:textId="77777777" w:rsidR="00EF76B1" w:rsidRDefault="00EF76B1" w:rsidP="006A5E1C">
      <w:pPr>
        <w:ind w:firstLineChars="200" w:firstLine="420"/>
      </w:pPr>
      <w:r>
        <w:t>1. アイ</w:t>
      </w:r>
      <w:r>
        <w:rPr>
          <w:rFonts w:hint="eastAsia"/>
        </w:rPr>
        <w:t xml:space="preserve">　　</w:t>
      </w:r>
      <w:r>
        <w:t>2. アウ</w:t>
      </w:r>
      <w:r>
        <w:rPr>
          <w:rFonts w:hint="eastAsia"/>
        </w:rPr>
        <w:t xml:space="preserve">　　</w:t>
      </w:r>
      <w:r>
        <w:t>3. アエ</w:t>
      </w:r>
      <w:r>
        <w:rPr>
          <w:rFonts w:hint="eastAsia"/>
        </w:rPr>
        <w:t xml:space="preserve">　　</w:t>
      </w:r>
      <w:r>
        <w:t>4. イウ</w:t>
      </w:r>
      <w:r>
        <w:rPr>
          <w:rFonts w:hint="eastAsia"/>
        </w:rPr>
        <w:t xml:space="preserve">　　</w:t>
      </w:r>
      <w:r>
        <w:t>5. イエ</w:t>
      </w:r>
      <w:r>
        <w:rPr>
          <w:rFonts w:hint="eastAsia"/>
        </w:rPr>
        <w:t xml:space="preserve">　　</w:t>
      </w:r>
      <w:r>
        <w:t>6. ウエ</w:t>
      </w:r>
    </w:p>
    <w:p w14:paraId="372456D8" w14:textId="77777777" w:rsidR="006A5E1C" w:rsidRDefault="006A5E1C" w:rsidP="00EF76B1">
      <w:pPr>
        <w:ind w:firstLineChars="100" w:firstLine="210"/>
      </w:pPr>
    </w:p>
    <w:p w14:paraId="0824636E" w14:textId="77777777" w:rsidR="00EF76B1" w:rsidRDefault="006A5E1C" w:rsidP="00EF76B1">
      <w:pPr>
        <w:ind w:firstLineChars="100" w:firstLine="210"/>
      </w:pPr>
      <w:r>
        <w:rPr>
          <w:rFonts w:hint="eastAsia"/>
        </w:rPr>
        <w:t>＜解答＞１</w:t>
      </w:r>
    </w:p>
    <w:p w14:paraId="770726F5" w14:textId="77777777" w:rsidR="006A5E1C" w:rsidRDefault="006A5E1C" w:rsidP="00EF76B1">
      <w:pPr>
        <w:ind w:firstLineChars="100" w:firstLine="210"/>
      </w:pPr>
      <w:r>
        <w:rPr>
          <w:rFonts w:hint="eastAsia"/>
        </w:rPr>
        <w:t>＜解説＞</w:t>
      </w:r>
    </w:p>
    <w:p w14:paraId="686E8774" w14:textId="77777777" w:rsidR="006A5E1C" w:rsidRPr="006A5E1C" w:rsidRDefault="006A5E1C" w:rsidP="006A5E1C">
      <w:pPr>
        <w:ind w:leftChars="100" w:left="420" w:hangingChars="100" w:hanging="210"/>
        <w:rPr>
          <w:b/>
        </w:rPr>
      </w:pPr>
      <w:r>
        <w:rPr>
          <w:rFonts w:hint="eastAsia"/>
        </w:rPr>
        <w:t>ウ．企業実体の公準は，会計が行われる場を確定する公準であり，会計単位の公準と呼ばれることもある。</w:t>
      </w:r>
      <w:r w:rsidRPr="006A5E1C">
        <w:rPr>
          <w:rFonts w:hint="eastAsia"/>
          <w:b/>
        </w:rPr>
        <w:t>親会社説も経済的単一体説も企業実体の公準を前提としている。</w:t>
      </w:r>
    </w:p>
    <w:p w14:paraId="734F501E" w14:textId="77777777" w:rsidR="006A5E1C" w:rsidRDefault="006A5E1C" w:rsidP="006A5E1C">
      <w:pPr>
        <w:ind w:leftChars="100" w:left="420" w:hangingChars="100" w:hanging="210"/>
        <w:rPr>
          <w:b/>
        </w:rPr>
      </w:pPr>
      <w:r>
        <w:rPr>
          <w:rFonts w:hint="eastAsia"/>
        </w:rPr>
        <w:t>エ．継続企業の公準は，企業が半永久的に存在することを仮定した上で会計を行うことを要請した公準である。したがって，期間を人為的に区切って実施される期間損益計算は，</w:t>
      </w:r>
      <w:r w:rsidRPr="006A5E1C">
        <w:rPr>
          <w:rFonts w:hint="eastAsia"/>
          <w:b/>
        </w:rPr>
        <w:t>継続企業の公準に基づいている。</w:t>
      </w:r>
    </w:p>
    <w:p w14:paraId="44C18D14" w14:textId="77777777" w:rsidR="00FF3878" w:rsidRDefault="00FF3878" w:rsidP="006A5E1C">
      <w:pPr>
        <w:ind w:leftChars="100" w:left="416" w:hangingChars="100" w:hanging="206"/>
        <w:rPr>
          <w:b/>
        </w:rPr>
      </w:pPr>
    </w:p>
    <w:p w14:paraId="504E0D9C" w14:textId="77777777" w:rsidR="00FF3878" w:rsidRDefault="00FF3878" w:rsidP="006A5E1C">
      <w:pPr>
        <w:ind w:leftChars="100" w:left="416" w:hangingChars="100" w:hanging="206"/>
        <w:rPr>
          <w:b/>
        </w:rPr>
      </w:pPr>
    </w:p>
    <w:p w14:paraId="5D6CEF3D" w14:textId="77777777" w:rsidR="006A5E1C" w:rsidRDefault="006A5E1C" w:rsidP="006A5E1C">
      <w:pPr>
        <w:ind w:leftChars="100" w:left="416" w:hangingChars="100" w:hanging="206"/>
        <w:rPr>
          <w:b/>
        </w:rPr>
      </w:pPr>
    </w:p>
    <w:p w14:paraId="3722E1A2" w14:textId="77777777" w:rsidR="006A5E1C" w:rsidRPr="006A5E1C" w:rsidRDefault="006A5E1C" w:rsidP="006A5E1C">
      <w:pPr>
        <w:ind w:leftChars="100" w:left="416" w:hangingChars="100" w:hanging="206"/>
        <w:rPr>
          <w:b/>
        </w:rPr>
      </w:pPr>
    </w:p>
    <w:sectPr w:rsidR="006A5E1C" w:rsidRPr="006A5E1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8E5AC" w14:textId="77777777" w:rsidR="003C627C" w:rsidRDefault="003C627C" w:rsidP="00500552">
      <w:r>
        <w:separator/>
      </w:r>
    </w:p>
  </w:endnote>
  <w:endnote w:type="continuationSeparator" w:id="0">
    <w:p w14:paraId="57475F9F" w14:textId="77777777" w:rsidR="003C627C" w:rsidRDefault="003C627C" w:rsidP="00500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91DFD" w14:textId="77777777" w:rsidR="003C627C" w:rsidRDefault="003C627C" w:rsidP="00500552">
      <w:r>
        <w:separator/>
      </w:r>
    </w:p>
  </w:footnote>
  <w:footnote w:type="continuationSeparator" w:id="0">
    <w:p w14:paraId="6C9F6FA7" w14:textId="77777777" w:rsidR="003C627C" w:rsidRDefault="003C627C" w:rsidP="005005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EE"/>
    <w:rsid w:val="003C627C"/>
    <w:rsid w:val="00500552"/>
    <w:rsid w:val="00550EEE"/>
    <w:rsid w:val="00603F10"/>
    <w:rsid w:val="006A5E1C"/>
    <w:rsid w:val="006F6525"/>
    <w:rsid w:val="00852B01"/>
    <w:rsid w:val="00911EFA"/>
    <w:rsid w:val="009F52BD"/>
    <w:rsid w:val="00C116BF"/>
    <w:rsid w:val="00DF0A97"/>
    <w:rsid w:val="00EF76B1"/>
    <w:rsid w:val="00FC0DFD"/>
    <w:rsid w:val="00FF38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F2FFC7"/>
  <w15:chartTrackingRefBased/>
  <w15:docId w15:val="{469F7E7D-3D3C-49F5-9F8E-E84C40D1E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0552"/>
    <w:pPr>
      <w:tabs>
        <w:tab w:val="center" w:pos="4252"/>
        <w:tab w:val="right" w:pos="8504"/>
      </w:tabs>
      <w:snapToGrid w:val="0"/>
    </w:pPr>
  </w:style>
  <w:style w:type="character" w:customStyle="1" w:styleId="a4">
    <w:name w:val="ヘッダー (文字)"/>
    <w:basedOn w:val="a0"/>
    <w:link w:val="a3"/>
    <w:uiPriority w:val="99"/>
    <w:rsid w:val="00500552"/>
  </w:style>
  <w:style w:type="paragraph" w:styleId="a5">
    <w:name w:val="footer"/>
    <w:basedOn w:val="a"/>
    <w:link w:val="a6"/>
    <w:uiPriority w:val="99"/>
    <w:unhideWhenUsed/>
    <w:rsid w:val="00500552"/>
    <w:pPr>
      <w:tabs>
        <w:tab w:val="center" w:pos="4252"/>
        <w:tab w:val="right" w:pos="8504"/>
      </w:tabs>
      <w:snapToGrid w:val="0"/>
    </w:pPr>
  </w:style>
  <w:style w:type="character" w:customStyle="1" w:styleId="a6">
    <w:name w:val="フッター (文字)"/>
    <w:basedOn w:val="a0"/>
    <w:link w:val="a5"/>
    <w:uiPriority w:val="99"/>
    <w:rsid w:val="00500552"/>
  </w:style>
  <w:style w:type="character" w:styleId="a7">
    <w:name w:val="Hyperlink"/>
    <w:basedOn w:val="a0"/>
    <w:uiPriority w:val="99"/>
    <w:unhideWhenUsed/>
    <w:rsid w:val="009F52BD"/>
    <w:rPr>
      <w:color w:val="0563C1" w:themeColor="hyperlink"/>
      <w:u w:val="single"/>
    </w:rPr>
  </w:style>
  <w:style w:type="character" w:styleId="a8">
    <w:name w:val="Unresolved Mention"/>
    <w:basedOn w:val="a0"/>
    <w:uiPriority w:val="99"/>
    <w:semiHidden/>
    <w:unhideWhenUsed/>
    <w:rsid w:val="009F52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sa.go.jp/cpaaob/kouninkaikeishi-shiken/tantou_mondai30b/04.pdf"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Pages>
  <Words>135</Words>
  <Characters>772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引地夏奈子</dc:creator>
  <cp:keywords/>
  <dc:description/>
  <cp:lastModifiedBy>藤原 大花</cp:lastModifiedBy>
  <cp:revision>6</cp:revision>
  <dcterms:created xsi:type="dcterms:W3CDTF">2021-12-27T00:07:00Z</dcterms:created>
  <dcterms:modified xsi:type="dcterms:W3CDTF">2022-09-10T08:27:00Z</dcterms:modified>
</cp:coreProperties>
</file>